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206202</w:t>
      </w:r>
      <w:r>
        <w:rPr>
          <w:b/>
          <w:i/>
          <w:sz w:val="28"/>
        </w:rPr>
        <w:fldChar w:fldCharType="end"/>
      </w:r>
    </w:p>
    <w:p>
      <w:pPr>
        <w:pStyle w:val="57"/>
        <w:outlineLvl w:val="0"/>
        <w:rPr>
          <w:b/>
          <w:sz w:val="24"/>
          <w:lang w:eastAsia="zh-CN"/>
        </w:rPr>
      </w:pPr>
      <w:r>
        <w:rPr>
          <w:b/>
          <w:sz w:val="24"/>
          <w:lang w:eastAsia="ja-JP"/>
        </w:rPr>
        <w:t xml:space="preserve">Toulouse, France,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2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9"/>
                <w:rFonts w:cs="Arial"/>
                <w:b/>
                <w:i/>
                <w:color w:val="FF0000"/>
              </w:rPr>
              <w:t>P</w:t>
            </w:r>
            <w:r>
              <w:rPr>
                <w:rStyle w:val="2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9"/>
                <w:rFonts w:cs="Arial"/>
                <w:i/>
              </w:rPr>
              <w:t>http://www.3gpp.org/Change-Requests</w:t>
            </w:r>
            <w:r>
              <w:rPr>
                <w:rStyle w:val="2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Corrections on misaligment for MAC CE or RRC parameters for eIAB TS 38.21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NR_IAB_enh-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9"/>
                <w:sz w:val="18"/>
              </w:rPr>
              <w:t>TR 21.900</w:t>
            </w:r>
            <w:r>
              <w:rPr>
                <w:rStyle w:val="2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1.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Case1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and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1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iCs w:val="0"/>
                <w:lang w:val="en-US" w:eastAsia="zh-CN"/>
              </w:rPr>
              <w:t>and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宋体" w:cs="Arial"/>
                <w:sz w:val="20"/>
                <w:lang w:eastAsia="ko-KR"/>
              </w:rPr>
              <w:t>Case</w:t>
            </w:r>
            <w:r>
              <w:rPr>
                <w:rFonts w:hint="eastAsia" w:eastAsia="宋体" w:cs="Arial"/>
                <w:sz w:val="20"/>
                <w:lang w:val="en-US" w:eastAsia="zh-CN"/>
              </w:rPr>
              <w:t>-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TS38.321 respectively.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2.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eastAsia="等线" w:cs="Arial"/>
                <w:lang w:eastAsia="zh-CN"/>
              </w:rPr>
              <w:t>'</w:t>
            </w:r>
            <w:r>
              <w:rPr>
                <w:rFonts w:ascii="Arial" w:hAnsi="Arial" w:eastAsia="等线" w:cs="Arial"/>
                <w:iCs/>
                <w:lang w:eastAsia="zh-CN"/>
              </w:rPr>
              <w:t>Case7' Timing Advance Offset MAC CE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</w:rPr>
              <w:t>Case-7 Timing advance offset MAC CE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TS38.321.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3.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</w:rPr>
              <w:t>powerControlOffsetIAB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</w:rPr>
              <w:t>DL Tx Power adjustment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</w:t>
            </w:r>
            <w:r>
              <w:rPr>
                <w:rFonts w:ascii="Arial" w:hAnsi="Arial" w:cs="Arial"/>
              </w:rPr>
              <w:t>DL TX Power Adjustment MAC C</w:t>
            </w:r>
            <w:r>
              <w:rPr>
                <w:rFonts w:hint="default"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TS38.321.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4. Parameter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Style w:val="47"/>
                <w:rFonts w:ascii="Arial" w:hAnsi="Arial" w:cs="Arial"/>
                <w:lang w:eastAsia="zh-CN"/>
              </w:rPr>
              <w:t>positionInDCI-AI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RbSetGroup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and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rbSets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 xml:space="preserve">in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is inconsistent with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Style w:val="47"/>
                <w:rFonts w:ascii="Arial" w:hAnsi="Arial" w:cs="Arial"/>
                <w:lang w:eastAsia="zh-CN"/>
              </w:rPr>
              <w:t>positionInDCI-AI</w:t>
            </w:r>
            <w:r>
              <w:rPr>
                <w:rStyle w:val="47"/>
                <w:rFonts w:hint="default" w:ascii="Arial" w:hAnsi="Arial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-r16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eastAsia="Times New Roman" w:cs="Arial"/>
                <w:i/>
                <w:iCs/>
                <w:lang w:val="en-US" w:eastAsia="zh-CN"/>
              </w:rPr>
              <w:t>rb-SetGroups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i/>
                <w:iCs/>
                <w:lang w:val="en-CA"/>
              </w:rPr>
              <w:t>R</w:t>
            </w:r>
            <w:r>
              <w:rPr>
                <w:rFonts w:hint="default" w:ascii="Arial" w:hAnsi="Arial" w:eastAsia="宋体" w:cs="Arial"/>
                <w:i/>
                <w:iCs/>
                <w:lang w:val="en-US" w:eastAsia="zh-CN"/>
              </w:rPr>
              <w:t>B-</w:t>
            </w:r>
            <w:r>
              <w:rPr>
                <w:rFonts w:ascii="Arial" w:hAnsi="Arial" w:cs="Arial"/>
                <w:i/>
                <w:iCs/>
                <w:lang w:val="en-CA"/>
              </w:rPr>
              <w:t>SetGroup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and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rb-Sets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TS38.331, respectively.</w:t>
            </w:r>
          </w:p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5. Missing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or </w:t>
            </w:r>
            <w:r>
              <w:rPr>
                <w:rStyle w:val="47"/>
                <w:rFonts w:ascii="Arial" w:hAnsi="Arial" w:cs="Arial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availabilityCombinationsRBGroups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eastAsia="ko-KR"/>
              </w:rPr>
              <w:t>in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sentence</w:t>
            </w:r>
            <w:r>
              <w:rPr>
                <w:rFonts w:hint="default"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</w:rPr>
              <w:t xml:space="preserve">The IAB-DU can assume a same SCS configuration for </w:t>
            </w:r>
            <w:r>
              <w:rPr>
                <w:rFonts w:ascii="Arial" w:hAnsi="Arial" w:cs="Arial"/>
                <w:i/>
              </w:rPr>
              <w:t>availabilityCombinations</w:t>
            </w:r>
            <w:r>
              <w:rPr>
                <w:rStyle w:val="47"/>
                <w:rFonts w:hint="default" w:ascii="Arial" w:hAnsi="Arial" w:cs="Arial"/>
                <w:color w:val="FF0000"/>
                <w:highlight w:val="none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for a cell as an SCS configuration provided by </w:t>
            </w:r>
            <w:r>
              <w:rPr>
                <w:rFonts w:ascii="Arial" w:hAnsi="Arial" w:cs="Arial"/>
                <w:i/>
                <w:iCs/>
              </w:rPr>
              <w:t>gNB-DU Cell Resource Configuration</w:t>
            </w:r>
            <w:r>
              <w:rPr>
                <w:rFonts w:ascii="Arial" w:hAnsi="Arial" w:cs="Arial"/>
              </w:rPr>
              <w:t xml:space="preserve"> for the cell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lang w:eastAsia="ko-KR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TS38.</w:t>
            </w:r>
            <w:r>
              <w:rPr>
                <w:rFonts w:hint="default" w:ascii="Arial" w:hAnsi="Arial" w:cs="Arial"/>
                <w:lang w:eastAsia="ko-KR"/>
              </w:rPr>
              <w:t>21</w:t>
            </w:r>
            <w:r>
              <w:rPr>
                <w:rFonts w:hint="default" w:ascii="Arial" w:hAnsi="Arial" w:eastAsia="宋体" w:cs="Arial"/>
                <w:lang w:val="en-US" w:eastAsia="zh-CN"/>
              </w:rPr>
              <w:t>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 w:ascii="Arial" w:hAnsi="Arial" w:cs="Arial"/>
                <w:i/>
                <w:iCs/>
                <w:lang w:val="en-US" w:eastAsia="zh-CN"/>
              </w:rPr>
            </w:pPr>
            <w:r>
              <w:rPr>
                <w:rFonts w:hint="default" w:ascii="Arial" w:hAnsi="Arial" w:cs="Arial"/>
                <w:i/>
                <w:lang w:val="en-US" w:eastAsia="zh-CN"/>
              </w:rPr>
              <w:t>Correct MAC CE or RRC parameter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>.</w:t>
            </w:r>
          </w:p>
          <w:p>
            <w:pPr>
              <w:pStyle w:val="57"/>
              <w:spacing w:after="0"/>
              <w:ind w:left="10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hint="default" w:ascii="Arial" w:hAnsi="Arial" w:cs="Arial"/>
                <w:i/>
                <w:lang w:val="en-US" w:eastAsia="zh-CN"/>
              </w:rPr>
              <w:t xml:space="preserve">Insert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or </w:t>
            </w:r>
            <w:r>
              <w:rPr>
                <w:rStyle w:val="47"/>
                <w:rFonts w:ascii="Arial" w:hAnsi="Arial" w:cs="Arial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availabilityCombinationsRBGroups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Misalignment on RRC parameters between specifications, or unclear </w:t>
            </w:r>
            <w:r>
              <w:rPr>
                <w:rFonts w:ascii="Arial" w:hAnsi="Arial" w:cs="Arial"/>
              </w:rPr>
              <w:t>SCS configuration for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</w:t>
            </w:r>
            <w:r>
              <w:rPr>
                <w:rStyle w:val="47"/>
                <w:rFonts w:ascii="Arial" w:hAnsi="Arial" w:cs="Arial"/>
              </w:rPr>
              <w:t>availabilityCombinationsRBGroups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</w:tbl>
    <w:p>
      <w:pPr>
        <w:pStyle w:val="57"/>
        <w:spacing w:after="0"/>
        <w:rPr>
          <w:sz w:val="8"/>
          <w:szCs w:val="8"/>
        </w:rPr>
      </w:pPr>
    </w:p>
    <w:p>
      <w:r>
        <w:br w:type="page"/>
      </w: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color w:val="FF0000"/>
        </w:rPr>
      </w:pPr>
    </w:p>
    <w:p>
      <w:pPr>
        <w:pStyle w:val="2"/>
        <w:rPr>
          <w:rFonts w:hint="default" w:eastAsia="宋体"/>
          <w:color w:val="000000"/>
          <w:lang w:val="en-US" w:eastAsia="zh-CN"/>
        </w:rPr>
      </w:pPr>
      <w:bookmarkStart w:id="1" w:name="_Toc29673382"/>
      <w:bookmarkStart w:id="2" w:name="_Toc105769304"/>
      <w:bookmarkStart w:id="3" w:name="_Toc29674375"/>
      <w:bookmarkStart w:id="4" w:name="_Toc29673241"/>
      <w:bookmarkStart w:id="5" w:name="_Toc45810654"/>
      <w:bookmarkStart w:id="6" w:name="_Toc36645605"/>
      <w:r>
        <w:rPr>
          <w:rFonts w:hint="eastAsia" w:eastAsia="宋体"/>
          <w:color w:val="000000"/>
          <w:lang w:val="en-US" w:eastAsia="zh-CN"/>
        </w:rPr>
        <w:t xml:space="preserve">14 </w:t>
      </w:r>
      <w:r>
        <w:t>Integrated access-backhaul operation</w:t>
      </w:r>
    </w:p>
    <w:p>
      <w:pPr>
        <w:widowControl/>
        <w:spacing w:before="0"/>
        <w:jc w:val="center"/>
        <w:rPr>
          <w:color w:val="A6A6A6" w:themeColor="background1" w:themeShade="A6"/>
          <w:lang w:eastAsia="zh-CN"/>
        </w:rPr>
      </w:pPr>
      <w:r>
        <w:rPr>
          <w:b/>
          <w:color w:val="FF0000"/>
        </w:rPr>
        <w:t>&lt;Unchanged parts omitted&gt;</w:t>
      </w:r>
    </w:p>
    <w:p>
      <w:pPr>
        <w:widowControl w:val="0"/>
        <w:spacing w:before="180"/>
        <w:jc w:val="both"/>
        <w:rPr>
          <w:rFonts w:ascii="Times New Roman" w:hAnsi="Times New Roman" w:cs="Times New Roman"/>
          <w:color w:val="auto"/>
          <w:sz w:val="20"/>
        </w:rPr>
      </w:pPr>
      <w:r>
        <w:rPr>
          <w:rFonts w:ascii="Times New Roman" w:hAnsi="Times New Roman" w:cs="Times New Roman"/>
          <w:color w:val="auto"/>
          <w:sz w:val="20"/>
          <w:lang w:eastAsia="zh-CN"/>
        </w:rPr>
        <w:t>If an IAB-node</w:t>
      </w:r>
      <w:r>
        <w:rPr>
          <w:rFonts w:ascii="Times New Roman" w:hAnsi="Times New Roman" w:eastAsia="等线" w:cs="Times New Roman"/>
          <w:color w:val="auto"/>
          <w:sz w:val="20"/>
          <w:lang w:eastAsia="zh-CN"/>
        </w:rPr>
        <w:t xml:space="preserve"> is provided an index</w:t>
      </w:r>
      <w:r>
        <w:rPr>
          <w:rFonts w:ascii="Times New Roman" w:hAnsi="Times New Roman" w:cs="Times New Roman"/>
          <w:color w:val="auto"/>
          <w:sz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</w:rPr>
              <m:t>delta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ub>
        </m:sSub>
      </m:oMath>
      <w:r>
        <w:rPr>
          <w:rFonts w:ascii="Times New Roman" w:hAnsi="Times New Roman" w:cs="Times New Roman"/>
          <w:color w:val="auto"/>
          <w:sz w:val="20"/>
        </w:rPr>
        <w:t xml:space="preserve"> in a Timing Delta MAC CE [11, TS 38.321] from a serving cell, the IAB-node</w:t>
      </w:r>
      <w:r>
        <w:rPr>
          <w:rFonts w:ascii="Times New Roman" w:hAnsi="Times New Roman" w:cs="Times New Roman"/>
          <w:color w:val="auto"/>
          <w:sz w:val="20"/>
          <w:lang w:eastAsia="zh-CN"/>
        </w:rPr>
        <w:t xml:space="preserve"> may assume that </w:t>
      </w:r>
      <m:oMath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auto"/>
                <w:sz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</w:rPr>
              <m:t>TA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auto"/>
            <w:sz w:val="20"/>
          </w:rPr>
          <m:t>/2+</m:t>
        </m:r>
        <m:d>
          <m:dPr>
            <m:ctrlPr>
              <w:rPr>
                <w:rFonts w:ascii="Cambria Math" w:hAnsi="Cambria Math" w:cs="Times New Roman"/>
                <w:color w:val="auto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r>
              <m:rPr/>
              <w:rPr>
                <w:rFonts w:ascii="Cambria Math" w:hAnsi="Cambria Math" w:eastAsia="等线" w:cs="Times New Roman"/>
                <w:color w:val="auto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0"/>
              </w:rPr>
              <m:t>⋅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G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step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−</m:t>
                </m:r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TA,Offset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</w:rPr>
              <m:t>/2</m:t>
            </m:r>
            <m:ctrlPr>
              <w:rPr>
                <w:rFonts w:ascii="Cambria Math" w:hAnsi="Cambria Math" w:cs="Times New Roman"/>
                <w:color w:val="auto"/>
                <w:sz w:val="20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color w:val="auto"/>
            <w:sz w:val="20"/>
          </w:rPr>
          <m:t>⋅</m:t>
        </m:r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</w:rPr>
              <m:t>c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ub>
        </m:sSub>
      </m:oMath>
      <w:r>
        <w:rPr>
          <w:rFonts w:ascii="Times New Roman" w:hAnsi="Times New Roman" w:cs="Times New Roman"/>
          <w:color w:val="auto"/>
          <w:sz w:val="20"/>
        </w:rPr>
        <w:t xml:space="preserve"> </w:t>
      </w:r>
      <w:r>
        <w:rPr>
          <w:rFonts w:ascii="Times New Roman" w:hAnsi="Times New Roman" w:cs="Times New Roman"/>
          <w:iCs/>
          <w:color w:val="auto"/>
          <w:sz w:val="20"/>
          <w:lang w:val="en-US" w:eastAsia="zh-CN"/>
        </w:rPr>
        <w:t>is a time difference between a DU transmission of a signal from the serving cell and a reception of the signal by the IAB-MT</w:t>
      </w:r>
      <w:r>
        <w:rPr>
          <w:rFonts w:ascii="Times New Roman" w:hAnsi="Times New Roman" w:cs="Times New Roman"/>
          <w:color w:val="auto"/>
          <w:sz w:val="20"/>
        </w:rPr>
        <w:t xml:space="preserve"> when </w:t>
      </w:r>
      <m:oMath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auto"/>
                <w:sz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</w:rPr>
              <m:t>TA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auto"/>
            <w:sz w:val="20"/>
          </w:rPr>
          <m:t>/2+</m:t>
        </m:r>
        <m:d>
          <m:dPr>
            <m:ctrlPr>
              <w:rPr>
                <w:rFonts w:ascii="Cambria Math" w:hAnsi="Cambria Math" w:cs="Times New Roman"/>
                <w:color w:val="auto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r>
              <m:rPr/>
              <w:rPr>
                <w:rFonts w:ascii="Cambria Math" w:hAnsi="Cambria Math" w:eastAsia="等线" w:cs="Times New Roman"/>
                <w:color w:val="auto"/>
                <w:sz w:val="20"/>
              </w:rPr>
              <m:t>+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delta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auto"/>
                <w:sz w:val="20"/>
              </w:rPr>
              <m:t>⋅</m:t>
            </m:r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G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step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sSub>
              <m:sSubP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−</m:t>
                </m:r>
                <m:r>
                  <m:rPr/>
                  <w:rPr>
                    <w:rFonts w:ascii="Cambria Math" w:hAnsi="Cambria Math" w:eastAsia="等线" w:cs="Times New Roman"/>
                    <w:color w:val="auto"/>
                    <w:sz w:val="20"/>
                  </w:rPr>
                  <m:t>N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等线" w:cs="Times New Roman"/>
                    <w:b w:val="0"/>
                    <w:i w:val="0"/>
                    <w:color w:val="auto"/>
                    <w:sz w:val="20"/>
                  </w:rPr>
                  <m:t>TA,Offset</m:t>
                </m:r>
                <m:ctrlPr>
                  <w:rPr>
                    <w:rFonts w:ascii="Cambria Math" w:hAnsi="Cambria Math" w:eastAsia="等线" w:cs="Times New Roman"/>
                    <w:color w:val="auto"/>
                    <w:sz w:val="20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</w:rPr>
              <m:t>/2</m:t>
            </m:r>
            <m:ctrlPr>
              <w:rPr>
                <w:rFonts w:ascii="Cambria Math" w:hAnsi="Cambria Math" w:cs="Times New Roman"/>
                <w:color w:val="auto"/>
                <w:sz w:val="20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color w:val="auto"/>
            <w:sz w:val="20"/>
          </w:rPr>
          <m:t>⋅</m:t>
        </m:r>
        <m:sSub>
          <m:sSubP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auto"/>
                <w:sz w:val="20"/>
              </w:rPr>
              <m:t>T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auto"/>
                <w:sz w:val="20"/>
              </w:rPr>
              <m:t>c</m:t>
            </m:r>
            <m:ctrlPr>
              <w:rPr>
                <w:rFonts w:ascii="Cambria Math" w:hAnsi="Cambria Math" w:eastAsia="等线" w:cs="Times New Roman"/>
                <w:color w:val="auto"/>
                <w:sz w:val="20"/>
              </w:rPr>
            </m:ctrlPr>
          </m:sub>
        </m:sSub>
        <m:r>
          <m:rPr/>
          <w:rPr>
            <w:rFonts w:ascii="Cambria Math" w:hAnsi="Cambria Math" w:eastAsia="等线" w:cs="Times New Roman"/>
            <w:color w:val="auto"/>
            <w:sz w:val="20"/>
          </w:rPr>
          <m:t>&gt;0</m:t>
        </m:r>
      </m:oMath>
      <w:r>
        <w:rPr>
          <w:rFonts w:ascii="Times New Roman" w:hAnsi="Times New Roman" w:cs="Times New Roman"/>
          <w:color w:val="auto"/>
          <w:sz w:val="20"/>
        </w:rPr>
        <w:t xml:space="preserve">, where </w:t>
      </w:r>
    </w:p>
    <w:p>
      <w:pPr>
        <w:pStyle w:val="45"/>
        <w:widowControl w:val="0"/>
        <w:rPr>
          <w:rFonts w:ascii="Times New Roman" w:hAnsi="Times New Roman" w:cs="Times New Roman"/>
          <w:bCs/>
          <w:iCs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0"/>
        </w:rPr>
        <w:t>-</w:t>
      </w:r>
      <w:r>
        <w:rPr>
          <w:rFonts w:ascii="Times New Roman" w:hAnsi="Times New Roman" w:cs="Times New Roman"/>
          <w:sz w:val="20"/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sz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sz w:val="20"/>
              </w:rPr>
              <m:t>T</m:t>
            </m:r>
            <m:ctrlPr>
              <w:rPr>
                <w:rFonts w:ascii="Cambria Math" w:hAnsi="Cambria Math" w:eastAsia="等线" w:cs="Times New Roman"/>
                <w:sz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sz w:val="20"/>
              </w:rPr>
              <m:t>TA</m:t>
            </m:r>
            <m:ctrlPr>
              <w:rPr>
                <w:rFonts w:ascii="Cambria Math" w:hAnsi="Cambria Math" w:eastAsia="等线" w:cs="Times New Roman"/>
                <w:sz w:val="20"/>
              </w:rPr>
            </m:ctrlPr>
          </m:sub>
        </m:sSub>
      </m:oMath>
      <w:r>
        <w:rPr>
          <w:rFonts w:ascii="Times New Roman" w:hAnsi="Times New Roman" w:cs="Times New Roman"/>
          <w:sz w:val="20"/>
        </w:rPr>
        <w:t xml:space="preserve"> is the difference between the IAB-MT reception time and the IAB-MT transmission time for IAB-MT transmission timing mode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Case6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Case-6</w:t>
      </w:r>
      <w:r>
        <w:rPr>
          <w:rFonts w:ascii="Times New Roman" w:hAnsi="Times New Roman" w:cs="Times New Roman"/>
          <w:sz w:val="20"/>
        </w:rPr>
        <w:t>', and is defined in clause 4.3.1 of [4, TS 38.211] for IAB-MT transmission timing mode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Case1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Case-1</w:t>
      </w:r>
      <w:r>
        <w:rPr>
          <w:rFonts w:ascii="Times New Roman" w:hAnsi="Times New Roman" w:cs="Times New Roman"/>
          <w:sz w:val="20"/>
        </w:rPr>
        <w:t>' and parent node reception mode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Case7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Case-7</w:t>
      </w:r>
      <w:r>
        <w:rPr>
          <w:rFonts w:ascii="Times New Roman" w:hAnsi="Times New Roman" w:cs="Times New Roman"/>
          <w:sz w:val="20"/>
        </w:rPr>
        <w:t>'</w:t>
      </w:r>
    </w:p>
    <w:p>
      <w:pPr>
        <w:pStyle w:val="45"/>
        <w:widowControl w:val="0"/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N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delta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and </w:t>
      </w:r>
      <m:oMath>
        <m:sSub>
          <m:sSubP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step</m:t>
            </m:r>
            <m:ctrlPr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are determined as</w:t>
      </w:r>
    </w:p>
    <w:p>
      <w:pPr>
        <w:pStyle w:val="52"/>
        <w:widowControl w:val="0"/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N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</m:r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delta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m:t>=−70528</m:t>
        </m:r>
      </m:oMath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step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m:t>=64</m:t>
        </m:r>
      </m:oMath>
      <w:r>
        <w:rPr>
          <w:rFonts w:ascii="Times New Roman" w:hAnsi="Times New Roman" w:cs="Times New Roman"/>
          <w:color w:val="000000" w:themeColor="text1"/>
          <w:sz w:val="20"/>
          <w:lang w:val="en-US"/>
          <w14:textFill>
            <w14:solidFill>
              <w14:schemeClr w14:val="tx1"/>
            </w14:solidFill>
          </w14:textFill>
        </w:rPr>
        <w:t>, if</w:t>
      </w: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the serving cell providing the Timing Delta MAC CE operates in FR1 </w:t>
      </w:r>
    </w:p>
    <w:p>
      <w:pPr>
        <w:pStyle w:val="52"/>
        <w:widowControl w:val="0"/>
        <w:rPr>
          <w:rFonts w:ascii="Times New Roman" w:hAnsi="Times New Roman" w:cs="Times New Roman"/>
          <w:color w:val="000000" w:themeColor="text1"/>
          <w:sz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ab/>
      </w:r>
      <m:oMath>
        <m:sSub>
          <m:sSubP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N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</m:r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delta</m:t>
            </m:r>
            <m:ctrlPr>
              <w:rPr>
                <w:rFonts w:ascii="Cambria Math" w:hAnsi="Cambria Math" w:eastAsia="等线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>
            <m:sty m:val="p"/>
          </m:rPr>
          <w:rPr>
            <w:rFonts w:ascii="Cambria Math" w:hAnsi="Cambria Math" w:eastAsia="等线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m:t>=−17664</m:t>
        </m:r>
      </m:oMath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/>
              <w:rPr>
                <w:rFonts w:ascii="Cambria Math" w:hAnsi="Cambria Math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ascii="Cambria Math" w:hAnsi="Cambria Math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m:t>step</m:t>
            </m:r>
            <m:ctrlPr>
              <w:rPr>
                <w:rFonts w:ascii="Cambria Math" w:hAnsi="Cambria Math" w:cs="Times New Roman"/>
                <w:i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m:rPr/>
          <w:rPr>
            <w:rFonts w:ascii="Cambria Math" w:hAnsi="Cambria Math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m:t>=32</m:t>
        </m:r>
      </m:oMath>
      <w:r>
        <w:rPr>
          <w:rFonts w:ascii="Times New Roman" w:hAnsi="Times New Roman" w:cs="Times New Roman"/>
          <w:color w:val="000000" w:themeColor="text1"/>
          <w:sz w:val="20"/>
          <w:lang w:val="en-US"/>
          <w14:textFill>
            <w14:solidFill>
              <w14:schemeClr w14:val="tx1"/>
            </w14:solidFill>
          </w14:textFill>
        </w:rPr>
        <w:t>, if</w:t>
      </w:r>
      <w:r>
        <w:rPr>
          <w:rFonts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the serving cell providing the Timing Delta MAC CE operates in FR</w:t>
      </w:r>
      <w:r>
        <w:rPr>
          <w:rFonts w:ascii="Times New Roman" w:hAnsi="Times New Roman" w:cs="Times New Roman"/>
          <w:color w:val="000000" w:themeColor="text1"/>
          <w:sz w:val="20"/>
          <w:lang w:val="en-US"/>
          <w14:textFill>
            <w14:solidFill>
              <w14:schemeClr w14:val="tx1"/>
            </w14:solidFill>
          </w14:textFill>
        </w:rPr>
        <w:t>2</w:t>
      </w:r>
    </w:p>
    <w:p>
      <w:pPr>
        <w:pStyle w:val="45"/>
        <w:widowControl w:val="0"/>
        <w:ind w:left="0" w:firstLine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The IAB node may assume that a same value of index </w:t>
      </w:r>
      <m:oMath>
        <m:sSub>
          <m:sSubPr>
            <m:ctrlPr>
              <w:rPr>
                <w:rFonts w:ascii="Cambria Math" w:hAnsi="Cambria Math" w:eastAsia="等线" w:cs="Times New Roman"/>
                <w:sz w:val="20"/>
              </w:rPr>
            </m:ctrlPr>
          </m:sSubPr>
          <m:e>
            <m:r>
              <m:rPr/>
              <w:rPr>
                <w:rFonts w:ascii="Cambria Math" w:hAnsi="Cambria Math" w:eastAsia="等线" w:cs="Times New Roman"/>
                <w:sz w:val="20"/>
              </w:rPr>
              <m:t>T</m:t>
            </m:r>
            <m:ctrlPr>
              <w:rPr>
                <w:rFonts w:ascii="Cambria Math" w:hAnsi="Cambria Math" w:eastAsia="等线" w:cs="Times New Roman"/>
                <w:sz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 w:cs="Times New Roman"/>
                <w:b w:val="0"/>
                <w:i w:val="0"/>
                <w:sz w:val="20"/>
              </w:rPr>
              <m:t>delta</m:t>
            </m:r>
            <m:ctrlPr>
              <w:rPr>
                <w:rFonts w:ascii="Cambria Math" w:hAnsi="Cambria Math" w:eastAsia="等线" w:cs="Times New Roman"/>
                <w:sz w:val="20"/>
              </w:rPr>
            </m:ctrlPr>
          </m:sub>
        </m:sSub>
      </m:oMath>
      <w:r>
        <w:rPr>
          <w:rFonts w:ascii="Times New Roman" w:hAnsi="Times New Roman" w:cs="Times New Roman"/>
          <w:sz w:val="20"/>
        </w:rPr>
        <w:t xml:space="preserve"> is provided from a serving cell for the IAB-MT transmission timing mod</w:t>
      </w:r>
      <w:r>
        <w:rPr>
          <w:rFonts w:ascii="Times New Roman" w:hAnsi="Times New Roman" w:cs="Times New Roman"/>
          <w:sz w:val="20"/>
          <w:highlight w:val="none"/>
        </w:rPr>
        <w:t>es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Case7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Case-7</w:t>
      </w:r>
      <w:r>
        <w:rPr>
          <w:rFonts w:ascii="Times New Roman" w:hAnsi="Times New Roman" w:cs="Times New Roman"/>
          <w:sz w:val="20"/>
          <w:highlight w:val="none"/>
        </w:rPr>
        <w:t>' and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Case1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Case-1</w:t>
      </w:r>
      <w:r>
        <w:rPr>
          <w:rFonts w:ascii="Times New Roman" w:hAnsi="Times New Roman" w:cs="Times New Roman"/>
          <w:sz w:val="20"/>
          <w:highlight w:val="none"/>
        </w:rPr>
        <w:t>'</w:t>
      </w:r>
    </w:p>
    <w:p>
      <w:pPr>
        <w:widowControl w:val="0"/>
        <w:spacing w:before="180"/>
        <w:jc w:val="both"/>
        <w:rPr>
          <w:rFonts w:ascii="Times New Roman" w:hAnsi="Times New Roman" w:eastAsia="宋体" w:cs="Times New Roman"/>
          <w:sz w:val="20"/>
          <w:lang w:eastAsia="ko-KR"/>
        </w:rPr>
      </w:pPr>
      <w:r>
        <w:rPr>
          <w:rFonts w:ascii="Times New Roman" w:hAnsi="Times New Roman" w:eastAsia="宋体" w:cs="Times New Roman"/>
          <w:sz w:val="20"/>
          <w:lang w:val="en-US" w:eastAsia="ko-KR"/>
        </w:rPr>
        <w:t>The IAB-node may use the time difference to determine a DU transmission time.</w:t>
      </w:r>
    </w:p>
    <w:p>
      <w:pPr>
        <w:widowControl w:val="0"/>
        <w:rPr>
          <w:rFonts w:ascii="Times New Roman" w:hAnsi="Times New Roman" w:eastAsia="宋体" w:cs="Times New Roman"/>
          <w:sz w:val="20"/>
          <w:lang w:eastAsia="ko-KR"/>
        </w:rPr>
      </w:pPr>
      <w:r>
        <w:rPr>
          <w:rFonts w:ascii="Times New Roman" w:hAnsi="Times New Roman" w:eastAsia="宋体" w:cs="Times New Roman"/>
          <w:sz w:val="20"/>
          <w:lang w:eastAsia="ko-KR"/>
        </w:rPr>
        <w:t>For a serving cell of an IAB-MT</w:t>
      </w:r>
      <w:r>
        <w:rPr>
          <w:rFonts w:ascii="Times New Roman" w:hAnsi="Times New Roman" w:eastAsia="宋体" w:cs="Times New Roman"/>
          <w:sz w:val="20"/>
          <w:lang w:val="en-US" w:eastAsia="ko-KR"/>
        </w:rPr>
        <w:t>,</w:t>
      </w:r>
      <w:r>
        <w:rPr>
          <w:rFonts w:ascii="Times New Roman" w:hAnsi="Times New Roman" w:eastAsia="宋体" w:cs="Times New Roman"/>
          <w:sz w:val="20"/>
          <w:lang w:eastAsia="ko-KR"/>
        </w:rPr>
        <w:t xml:space="preserve"> the IAB-MT can be provided by Timing Case Indication MAC CE [11, TS 38.321] an indication of the IAB-MT transmission timing mode in a slot. Upon reception of the Timing Case Indication for a serving cell in a TAG, the IAB-MT applies a same IAB-MT transmission timing mode in a slot on all serving cells in the TAG.</w:t>
      </w:r>
    </w:p>
    <w:p>
      <w:pPr>
        <w:widowControl w:val="0"/>
        <w:rPr>
          <w:rFonts w:ascii="Times New Roman" w:hAnsi="Times New Roman" w:eastAsia="宋体" w:cs="Times New Roman"/>
          <w:sz w:val="20"/>
          <w:lang w:eastAsia="ko-KR"/>
        </w:rPr>
      </w:pPr>
      <w:r>
        <w:rPr>
          <w:rFonts w:ascii="Times New Roman" w:hAnsi="Times New Roman" w:eastAsia="宋体" w:cs="Times New Roman"/>
          <w:sz w:val="20"/>
          <w:lang w:eastAsia="ko-KR"/>
        </w:rPr>
        <w:t>If the indicated IAB-MT transmission timing mode in a slot is set to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Case1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Case-1</w:t>
      </w:r>
      <w:r>
        <w:rPr>
          <w:rFonts w:ascii="Times New Roman" w:hAnsi="Times New Roman" w:eastAsia="宋体" w:cs="Times New Roman"/>
          <w:sz w:val="20"/>
          <w:lang w:eastAsia="ko-KR"/>
        </w:rPr>
        <w:t xml:space="preserve">', the IAB-MT transmission time is determined as for a </w:t>
      </w:r>
      <w:r>
        <w:rPr>
          <w:rFonts w:ascii="Times New Roman" w:hAnsi="Times New Roman" w:eastAsia="宋体" w:cs="Times New Roman"/>
          <w:sz w:val="20"/>
          <w:lang w:val="en-US" w:eastAsia="ko-KR"/>
        </w:rPr>
        <w:t>"UE"</w:t>
      </w:r>
      <w:r>
        <w:rPr>
          <w:rFonts w:ascii="Times New Roman" w:hAnsi="Times New Roman" w:eastAsia="宋体" w:cs="Times New Roman"/>
          <w:sz w:val="20"/>
          <w:lang w:eastAsia="ko-KR"/>
        </w:rPr>
        <w:t xml:space="preserve"> in clause 4.2.</w:t>
      </w:r>
    </w:p>
    <w:p>
      <w:pPr>
        <w:widowControl w:val="0"/>
        <w:rPr>
          <w:rFonts w:ascii="Times New Roman" w:hAnsi="Times New Roman" w:eastAsia="宋体" w:cs="Times New Roman"/>
          <w:sz w:val="20"/>
          <w:lang w:eastAsia="ko-KR"/>
        </w:rPr>
      </w:pPr>
      <w:r>
        <w:rPr>
          <w:rFonts w:ascii="Times New Roman" w:hAnsi="Times New Roman" w:eastAsia="宋体" w:cs="Times New Roman"/>
          <w:sz w:val="20"/>
          <w:lang w:eastAsia="ko-KR"/>
        </w:rPr>
        <w:t>If the indicated IAB-MT transmission timing mode in a slot is set to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Case6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Case-6</w:t>
      </w:r>
      <w:r>
        <w:rPr>
          <w:rFonts w:ascii="Times New Roman" w:hAnsi="Times New Roman" w:eastAsia="宋体" w:cs="Times New Roman"/>
          <w:sz w:val="20"/>
          <w:lang w:eastAsia="ko-KR"/>
        </w:rPr>
        <w:t>', the IAB-node sets the IAB-MT transmission time to the transmission time of the IAB-DU.</w:t>
      </w:r>
    </w:p>
    <w:p>
      <w:pPr>
        <w:widowControl w:val="0"/>
        <w:rPr>
          <w:rFonts w:ascii="Times New Roman" w:hAnsi="Times New Roman" w:eastAsia="宋体" w:cs="Times New Roman"/>
          <w:sz w:val="20"/>
          <w:lang w:eastAsia="ko-KR"/>
        </w:rPr>
      </w:pPr>
      <w:r>
        <w:rPr>
          <w:rFonts w:ascii="Times New Roman" w:hAnsi="Times New Roman" w:eastAsia="宋体" w:cs="Times New Roman"/>
          <w:sz w:val="20"/>
          <w:lang w:eastAsia="ko-KR"/>
        </w:rPr>
        <w:t>If the indicated IAB-MT transmission timing mode in a slot is set to '</w:t>
      </w:r>
      <w:r>
        <w:rPr>
          <w:rFonts w:hint="eastAsia" w:cs="Times New Roman"/>
          <w:strike/>
          <w:dstrike w:val="0"/>
          <w:color w:val="FF0000"/>
          <w:sz w:val="20"/>
          <w:lang w:val="en-US" w:eastAsia="zh-CN"/>
        </w:rPr>
        <w:t>Case7</w:t>
      </w:r>
      <w:r>
        <w:rPr>
          <w:rFonts w:hint="eastAsia" w:ascii="Times New Roman" w:hAnsi="Times New Roman" w:cs="Times New Roman"/>
          <w:color w:val="FF0000"/>
          <w:sz w:val="20"/>
          <w:u w:val="single"/>
          <w:lang w:eastAsia="zh-CN"/>
        </w:rPr>
        <w:t>Case-7</w:t>
      </w:r>
      <w:r>
        <w:rPr>
          <w:rFonts w:ascii="Times New Roman" w:hAnsi="Times New Roman" w:eastAsia="宋体" w:cs="Times New Roman"/>
          <w:sz w:val="20"/>
          <w:lang w:eastAsia="ko-KR"/>
        </w:rPr>
        <w:t xml:space="preserve">', the IAB-MT is provided </w:t>
      </w:r>
      <w:r>
        <w:rPr>
          <w:rFonts w:hint="default" w:ascii="Times New Roman" w:hAnsi="Times New Roman" w:eastAsia="宋体" w:cs="Times New Roman"/>
          <w:sz w:val="20"/>
          <w:lang w:eastAsia="ko-KR"/>
        </w:rPr>
        <w:t xml:space="preserve">a </w:t>
      </w:r>
      <w:r>
        <w:rPr>
          <w:rFonts w:ascii="Times New Roman" w:hAnsi="Times New Roman" w:eastAsia="宋体" w:cs="Times New Roman"/>
          <w:sz w:val="20"/>
          <w:lang w:eastAsia="ko-KR"/>
        </w:rPr>
        <w:t xml:space="preserve">timing advance offset </w:t>
      </w:r>
      <w:r>
        <w:rPr>
          <w:rFonts w:hint="default" w:ascii="Times New Roman" w:hAnsi="Times New Roman" w:eastAsia="宋体" w:cs="Times New Roman"/>
          <w:sz w:val="20"/>
          <w:lang w:eastAsia="ko-KR"/>
        </w:rPr>
        <w:t xml:space="preserve">value </w:t>
      </w:r>
      <m:oMath>
        <m:sSub>
          <m:sSubPr>
            <m:ctrlPr>
              <w:rPr>
                <w:rFonts w:ascii="Cambria Math" w:hAnsi="Cambria Math" w:eastAsia="宋体" w:cs="Times New Roman"/>
                <w:i w:val="0"/>
                <w:sz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0"/>
                <w:lang w:eastAsia="ko-KR"/>
              </w:rPr>
              <m:t>N</m:t>
            </m:r>
            <m:ctrlPr>
              <w:rPr>
                <w:rFonts w:ascii="Cambria Math" w:hAnsi="Cambria Math" w:eastAsia="宋体" w:cs="Times New Roman"/>
                <w:i w:val="0"/>
                <w:sz w:val="20"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0"/>
                <w:lang w:eastAsia="ko-KR"/>
              </w:rPr>
              <m:t>TA,offset,2</m:t>
            </m:r>
            <m:ctrlPr>
              <w:rPr>
                <w:rFonts w:ascii="Cambria Math" w:hAnsi="Cambria Math" w:eastAsia="宋体" w:cs="Times New Roman"/>
                <w:i w:val="0"/>
                <w:sz w:val="20"/>
                <w:lang w:eastAsia="ko-KR"/>
              </w:rPr>
            </m:ctrlPr>
          </m:sub>
        </m:sSub>
      </m:oMath>
      <w:r>
        <w:rPr>
          <w:rFonts w:ascii="Times New Roman" w:hAnsi="Times New Roman" w:eastAsia="宋体" w:cs="Times New Roman"/>
          <w:sz w:val="20"/>
          <w:lang w:eastAsia="ko-KR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lang w:eastAsia="ko-KR"/>
        </w:rPr>
        <w:t xml:space="preserve">for a serving cell by </w:t>
      </w:r>
      <w:r>
        <w:rPr>
          <w:rFonts w:hint="default" w:ascii="Times New Roman" w:hAnsi="Times New Roman" w:eastAsia="宋体" w:cs="Times New Roman"/>
          <w:strike/>
          <w:dstrike w:val="0"/>
          <w:color w:val="FF0000"/>
          <w:sz w:val="20"/>
          <w:lang w:eastAsia="ko-KR"/>
        </w:rPr>
        <w:t>'Case7' Timing Advance Offset MAC CE</w:t>
      </w:r>
      <w:r>
        <w:rPr>
          <w:rFonts w:hint="eastAsia" w:ascii="Times New Roman" w:hAnsi="Times New Roman" w:eastAsia="宋体" w:cs="Times New Roman"/>
          <w:iCs w:val="0"/>
          <w:color w:val="FF0000"/>
          <w:sz w:val="20"/>
          <w:u w:val="single"/>
          <w:lang w:eastAsia="zh-CN"/>
        </w:rPr>
        <w:t>Case-7</w:t>
      </w:r>
      <w:r>
        <w:rPr>
          <w:rFonts w:ascii="Times New Roman" w:hAnsi="Times New Roman" w:eastAsia="宋体" w:cs="Times New Roman"/>
          <w:iCs w:val="0"/>
          <w:color w:val="FF0000"/>
          <w:sz w:val="20"/>
          <w:u w:val="single"/>
          <w:lang w:eastAsia="ko-KR"/>
        </w:rPr>
        <w:t xml:space="preserve"> Timing </w:t>
      </w:r>
      <w:r>
        <w:rPr>
          <w:rFonts w:hint="eastAsia" w:ascii="Times New Roman" w:hAnsi="Times New Roman" w:eastAsia="宋体" w:cs="Times New Roman"/>
          <w:iCs w:val="0"/>
          <w:color w:val="FF0000"/>
          <w:sz w:val="20"/>
          <w:u w:val="single"/>
          <w:lang w:val="en-US" w:eastAsia="zh-CN"/>
        </w:rPr>
        <w:t>a</w:t>
      </w:r>
      <w:r>
        <w:rPr>
          <w:rFonts w:ascii="Times New Roman" w:hAnsi="Times New Roman" w:eastAsia="宋体" w:cs="Times New Roman"/>
          <w:iCs w:val="0"/>
          <w:color w:val="FF0000"/>
          <w:sz w:val="20"/>
          <w:u w:val="single"/>
          <w:lang w:eastAsia="ko-KR"/>
        </w:rPr>
        <w:t xml:space="preserve">dvance </w:t>
      </w:r>
      <w:r>
        <w:rPr>
          <w:rFonts w:hint="eastAsia" w:ascii="Times New Roman" w:hAnsi="Times New Roman" w:eastAsia="宋体" w:cs="Times New Roman"/>
          <w:iCs w:val="0"/>
          <w:color w:val="FF0000"/>
          <w:sz w:val="20"/>
          <w:u w:val="single"/>
          <w:lang w:val="en-US" w:eastAsia="zh-CN"/>
        </w:rPr>
        <w:t>o</w:t>
      </w:r>
      <w:r>
        <w:rPr>
          <w:rFonts w:ascii="Times New Roman" w:hAnsi="Times New Roman" w:eastAsia="宋体" w:cs="Times New Roman"/>
          <w:iCs w:val="0"/>
          <w:color w:val="FF0000"/>
          <w:sz w:val="20"/>
          <w:u w:val="single"/>
          <w:lang w:eastAsia="ko-KR"/>
        </w:rPr>
        <w:t>ffset MAC CE</w:t>
      </w:r>
      <w:r>
        <w:rPr>
          <w:rFonts w:hint="default" w:ascii="Times New Roman" w:hAnsi="Times New Roman" w:eastAsia="宋体" w:cs="Times New Roman"/>
          <w:iCs w:val="0"/>
          <w:sz w:val="20"/>
          <w:lang w:eastAsia="ko-KR"/>
        </w:rPr>
        <w:t xml:space="preserve"> </w:t>
      </w:r>
      <w:r>
        <w:rPr>
          <w:rFonts w:ascii="Times New Roman" w:hAnsi="Times New Roman" w:eastAsia="宋体" w:cs="Times New Roman"/>
          <w:sz w:val="20"/>
          <w:lang w:eastAsia="ko-KR"/>
        </w:rPr>
        <w:t xml:space="preserve">[11, TS 38.321]. </w:t>
      </w:r>
      <w:r>
        <w:t xml:space="preserve">The IAB-MT determines its uplink transmission timing as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TA,offset,2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TA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are obtained as for a </w:t>
      </w:r>
      <w:r>
        <w:rPr>
          <w:lang w:val="en-US"/>
        </w:rPr>
        <w:t>"UE"</w:t>
      </w:r>
      <w:r>
        <w:t xml:space="preserve"> in clause 4.2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TA,offset,2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offset,2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⋅16⋅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64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offset,2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provided by </w:t>
      </w:r>
      <w:r>
        <w:rPr>
          <w:rFonts w:ascii="Times New Roman" w:hAnsi="Times New Roman" w:eastAsia="宋体" w:cs="Times New Roman"/>
          <w:sz w:val="20"/>
          <w:lang w:eastAsia="ko-KR"/>
        </w:rPr>
        <w:t xml:space="preserve">the </w:t>
      </w:r>
      <w:r>
        <w:rPr>
          <w:rFonts w:hint="default" w:ascii="Times New Roman" w:hAnsi="Times New Roman" w:eastAsia="宋体" w:cs="Times New Roman"/>
          <w:sz w:val="20"/>
          <w:lang w:eastAsia="ko-KR"/>
        </w:rPr>
        <w:t xml:space="preserve"> </w:t>
      </w:r>
      <w:r>
        <w:rPr>
          <w:rFonts w:hint="default" w:ascii="Times New Roman" w:hAnsi="Times New Roman" w:eastAsia="宋体" w:cs="Times New Roman"/>
          <w:strike/>
          <w:dstrike w:val="0"/>
          <w:color w:val="FF0000"/>
          <w:sz w:val="20"/>
          <w:lang w:eastAsia="ko-KR"/>
        </w:rPr>
        <w:t>'Case7' Timing Advance Offset MAC CE</w:t>
      </w:r>
      <w:r>
        <w:rPr>
          <w:rFonts w:hint="eastAsia" w:ascii="Times New Roman" w:hAnsi="Times New Roman" w:eastAsia="宋体" w:cs="Times New Roman"/>
          <w:iCs w:val="0"/>
          <w:color w:val="FF0000"/>
          <w:sz w:val="20"/>
          <w:u w:val="single"/>
          <w:lang w:eastAsia="zh-CN"/>
        </w:rPr>
        <w:t>Case-7</w:t>
      </w:r>
      <w:r>
        <w:rPr>
          <w:rFonts w:ascii="Times New Roman" w:hAnsi="Times New Roman" w:eastAsia="宋体" w:cs="Times New Roman"/>
          <w:iCs w:val="0"/>
          <w:color w:val="FF0000"/>
          <w:sz w:val="20"/>
          <w:u w:val="single"/>
          <w:lang w:eastAsia="ko-KR"/>
        </w:rPr>
        <w:t xml:space="preserve"> Timing </w:t>
      </w:r>
      <w:r>
        <w:rPr>
          <w:rFonts w:hint="eastAsia" w:ascii="Times New Roman" w:hAnsi="Times New Roman" w:eastAsia="宋体" w:cs="Times New Roman"/>
          <w:iCs w:val="0"/>
          <w:color w:val="FF0000"/>
          <w:sz w:val="20"/>
          <w:u w:val="single"/>
          <w:lang w:val="en-US" w:eastAsia="zh-CN"/>
        </w:rPr>
        <w:t>a</w:t>
      </w:r>
      <w:r>
        <w:rPr>
          <w:rFonts w:ascii="Times New Roman" w:hAnsi="Times New Roman" w:eastAsia="宋体" w:cs="Times New Roman"/>
          <w:iCs w:val="0"/>
          <w:color w:val="FF0000"/>
          <w:sz w:val="20"/>
          <w:u w:val="single"/>
          <w:lang w:eastAsia="ko-KR"/>
        </w:rPr>
        <w:t xml:space="preserve">dvance </w:t>
      </w:r>
      <w:r>
        <w:rPr>
          <w:rFonts w:hint="eastAsia" w:ascii="Times New Roman" w:hAnsi="Times New Roman" w:eastAsia="宋体" w:cs="Times New Roman"/>
          <w:iCs w:val="0"/>
          <w:color w:val="FF0000"/>
          <w:sz w:val="20"/>
          <w:u w:val="single"/>
          <w:lang w:val="en-US" w:eastAsia="zh-CN"/>
        </w:rPr>
        <w:t>o</w:t>
      </w:r>
      <w:r>
        <w:rPr>
          <w:rFonts w:ascii="Times New Roman" w:hAnsi="Times New Roman" w:eastAsia="宋体" w:cs="Times New Roman"/>
          <w:iCs w:val="0"/>
          <w:color w:val="FF0000"/>
          <w:sz w:val="20"/>
          <w:u w:val="single"/>
          <w:lang w:eastAsia="ko-KR"/>
        </w:rPr>
        <w:t>ffset MAC CE</w:t>
      </w:r>
      <w:r>
        <w:rPr>
          <w:rFonts w:ascii="Times New Roman" w:hAnsi="Times New Roman" w:eastAsia="宋体" w:cs="Times New Roman"/>
          <w:color w:val="FF0000"/>
          <w:sz w:val="20"/>
          <w:lang w:eastAsia="ko-KR"/>
        </w:rPr>
        <w:t xml:space="preserve"> </w:t>
      </w:r>
      <w:r>
        <w:rPr>
          <w:rFonts w:ascii="Times New Roman" w:hAnsi="Times New Roman" w:eastAsia="宋体" w:cs="Times New Roman"/>
          <w:sz w:val="20"/>
          <w:lang w:eastAsia="ko-KR"/>
        </w:rPr>
        <w:t>[11, TS 38.321].</w:t>
      </w:r>
    </w:p>
    <w:p>
      <w:pPr>
        <w:widowControl/>
        <w:spacing w:before="0"/>
        <w:jc w:val="center"/>
        <w:rPr>
          <w:color w:val="A6A6A6" w:themeColor="background1" w:themeShade="A6"/>
          <w:lang w:eastAsia="zh-CN"/>
        </w:rPr>
      </w:pPr>
      <w:r>
        <w:rPr>
          <w:b/>
          <w:color w:val="FF0000"/>
        </w:rPr>
        <w:t>&lt;Unchanged parts omitted&gt;</w:t>
      </w:r>
    </w:p>
    <w:p>
      <w:pPr>
        <w:widowControl w:val="0"/>
        <w:rPr>
          <w:rFonts w:ascii="Times New Roman" w:hAnsi="Times New Roman" w:eastAsia="宋体" w:cs="Times New Roman"/>
          <w:color w:val="auto"/>
          <w:sz w:val="20"/>
          <w:lang w:eastAsia="ko-KR"/>
        </w:rPr>
      </w:pPr>
    </w:p>
    <w:p>
      <w:pPr>
        <w:widowControl w:val="0"/>
        <w:rPr>
          <w:color w:val="auto"/>
          <w:sz w:val="20"/>
          <w:szCs w:val="20"/>
          <w:lang w:val="en-US"/>
        </w:rPr>
      </w:pPr>
      <w:r>
        <w:rPr>
          <w:color w:val="auto"/>
          <w:sz w:val="20"/>
          <w:szCs w:val="20"/>
          <w:lang w:eastAsia="zh-CN"/>
        </w:rPr>
        <w:t xml:space="preserve">If an IAB-node is provided an </w:t>
      </w:r>
      <w:r>
        <w:rPr>
          <w:rStyle w:val="47"/>
          <w:color w:val="auto"/>
          <w:sz w:val="20"/>
          <w:szCs w:val="20"/>
          <w:lang w:eastAsia="zh-CN"/>
        </w:rPr>
        <w:t>AvailabilityIndicator</w:t>
      </w:r>
      <w:r>
        <w:rPr>
          <w:color w:val="auto"/>
          <w:sz w:val="20"/>
          <w:szCs w:val="20"/>
          <w:lang w:val="en-US"/>
        </w:rPr>
        <w:t xml:space="preserve">, the IAB-node is provided </w:t>
      </w:r>
      <w:r>
        <w:rPr>
          <w:color w:val="auto"/>
          <w:sz w:val="20"/>
          <w:szCs w:val="20"/>
        </w:rPr>
        <w:t xml:space="preserve">an </w:t>
      </w:r>
      <w:r>
        <w:rPr>
          <w:color w:val="auto"/>
          <w:sz w:val="20"/>
          <w:szCs w:val="20"/>
          <w:lang w:val="en-US"/>
        </w:rPr>
        <w:t xml:space="preserve">AI-RNTI by </w:t>
      </w:r>
      <w:r>
        <w:rPr>
          <w:i/>
          <w:color w:val="auto"/>
          <w:sz w:val="20"/>
          <w:szCs w:val="20"/>
          <w:lang w:val="en-US"/>
        </w:rPr>
        <w:t>ai-RNTI</w:t>
      </w:r>
      <w:r>
        <w:rPr>
          <w:color w:val="auto"/>
          <w:sz w:val="20"/>
          <w:szCs w:val="20"/>
          <w:lang w:val="en-US"/>
        </w:rPr>
        <w:t xml:space="preserve"> and a payload size of a DCI format 2_5 by </w:t>
      </w:r>
      <w:r>
        <w:rPr>
          <w:i/>
          <w:color w:val="auto"/>
          <w:sz w:val="20"/>
          <w:szCs w:val="20"/>
        </w:rPr>
        <w:t>dci-PayloadSizeAI</w:t>
      </w:r>
      <w:r>
        <w:rPr>
          <w:color w:val="auto"/>
          <w:sz w:val="20"/>
          <w:szCs w:val="20"/>
          <w:lang w:val="en-US"/>
        </w:rPr>
        <w:t xml:space="preserve">. </w:t>
      </w:r>
      <w:r>
        <w:rPr>
          <w:color w:val="auto"/>
          <w:sz w:val="20"/>
          <w:szCs w:val="20"/>
        </w:rPr>
        <w:t xml:space="preserve">The IAB-node is also provided a search space set configuration, by </w:t>
      </w:r>
      <w:r>
        <w:rPr>
          <w:bCs/>
          <w:i/>
          <w:iCs/>
          <w:color w:val="auto"/>
          <w:sz w:val="20"/>
          <w:szCs w:val="20"/>
          <w:lang w:eastAsia="zh-CN"/>
        </w:rPr>
        <w:t>SearchSpace</w:t>
      </w:r>
      <w:r>
        <w:rPr>
          <w:bCs/>
          <w:iCs/>
          <w:color w:val="auto"/>
          <w:sz w:val="20"/>
          <w:szCs w:val="20"/>
          <w:lang w:eastAsia="zh-CN"/>
        </w:rPr>
        <w:t>, for monitoring PDCCH.</w:t>
      </w:r>
    </w:p>
    <w:p>
      <w:pPr>
        <w:widowControl w:val="0"/>
        <w:rPr>
          <w:color w:val="auto"/>
          <w:sz w:val="20"/>
          <w:szCs w:val="20"/>
          <w:lang w:val="en-US"/>
        </w:rPr>
      </w:pPr>
      <w:r>
        <w:rPr>
          <w:color w:val="auto"/>
          <w:sz w:val="20"/>
          <w:szCs w:val="20"/>
          <w:lang w:val="en-US"/>
        </w:rPr>
        <w:t xml:space="preserve">For each cell of an IAB-DU in a set of cells of the IAB-DU, the IAB-DU can be provided: </w:t>
      </w:r>
    </w:p>
    <w:p>
      <w:pPr>
        <w:pStyle w:val="45"/>
        <w:widowControl w:val="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-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an identity of the IAB-DU cell by </w:t>
      </w:r>
      <w:r>
        <w:rPr>
          <w:i/>
          <w:iCs/>
          <w:color w:val="auto"/>
          <w:sz w:val="20"/>
          <w:szCs w:val="20"/>
        </w:rPr>
        <w:t>iab-DU-CellIdentity</w:t>
      </w:r>
    </w:p>
    <w:p>
      <w:pPr>
        <w:pStyle w:val="45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 location of an availability indicator (AI) index field in DCI format 2_5 by </w:t>
      </w:r>
      <w:r>
        <w:rPr>
          <w:rStyle w:val="47"/>
          <w:sz w:val="20"/>
          <w:szCs w:val="20"/>
          <w:lang w:eastAsia="zh-CN"/>
        </w:rPr>
        <w:t>positionInDCI-AI</w:t>
      </w:r>
      <w:r>
        <w:rPr>
          <w:rStyle w:val="47"/>
          <w:rFonts w:hint="eastAsia"/>
          <w:color w:val="FF0000"/>
          <w:sz w:val="20"/>
          <w:szCs w:val="20"/>
          <w:u w:val="single"/>
          <w:lang w:val="en-US" w:eastAsia="zh-CN"/>
        </w:rPr>
        <w:t>-r16</w:t>
      </w:r>
      <w:r>
        <w:rPr>
          <w:sz w:val="20"/>
          <w:szCs w:val="20"/>
        </w:rPr>
        <w:t xml:space="preserve"> or by </w:t>
      </w:r>
      <w:r>
        <w:rPr>
          <w:rStyle w:val="47"/>
          <w:sz w:val="20"/>
          <w:szCs w:val="20"/>
        </w:rPr>
        <w:t>positionInDCI-AI-r17</w:t>
      </w:r>
    </w:p>
    <w:p>
      <w:pPr>
        <w:pStyle w:val="45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 set of availability combinations by </w:t>
      </w:r>
      <w:r>
        <w:rPr>
          <w:rStyle w:val="47"/>
          <w:sz w:val="20"/>
          <w:szCs w:val="20"/>
          <w:lang w:eastAsia="zh-CN"/>
        </w:rPr>
        <w:t>availabilityCombinations</w:t>
      </w:r>
      <w:r>
        <w:rPr>
          <w:i/>
          <w:iCs/>
          <w:sz w:val="20"/>
          <w:szCs w:val="20"/>
        </w:rPr>
        <w:t xml:space="preserve"> </w:t>
      </w:r>
      <w:r>
        <w:rPr>
          <w:rStyle w:val="47"/>
          <w:sz w:val="20"/>
          <w:szCs w:val="20"/>
        </w:rPr>
        <w:t>or by availabilityCombinationsRBGroups</w:t>
      </w:r>
      <w:r>
        <w:rPr>
          <w:sz w:val="20"/>
          <w:szCs w:val="20"/>
        </w:rPr>
        <w:t>, where each availability combination in the set of availability combinations includes</w:t>
      </w:r>
    </w:p>
    <w:p>
      <w:pPr>
        <w:pStyle w:val="52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Style w:val="47"/>
          <w:sz w:val="20"/>
          <w:szCs w:val="20"/>
          <w:lang w:eastAsia="zh-CN"/>
        </w:rPr>
        <w:t>resourceAvailability</w:t>
      </w:r>
      <w:r>
        <w:rPr>
          <w:sz w:val="20"/>
          <w:szCs w:val="20"/>
        </w:rPr>
        <w:t xml:space="preserve"> indicating availability of soft symbols in one or more slots for the IAB-DU cell, or </w:t>
      </w:r>
      <w:r>
        <w:rPr>
          <w:sz w:val="20"/>
          <w:szCs w:val="20"/>
          <w:lang w:val="en-CA"/>
        </w:rPr>
        <w:t xml:space="preserve">one </w:t>
      </w:r>
      <w:r>
        <w:rPr>
          <w:i/>
          <w:iCs/>
          <w:sz w:val="20"/>
          <w:szCs w:val="20"/>
          <w:lang w:val="en-CA"/>
        </w:rPr>
        <w:t xml:space="preserve">resourceAvailability </w:t>
      </w:r>
      <w:r>
        <w:rPr>
          <w:sz w:val="20"/>
          <w:szCs w:val="20"/>
          <w:lang w:val="en-CA"/>
        </w:rPr>
        <w:t>indicating availability of soft resources in all RB sets in one or more slots for the IAB-DU cell, or one or multiple</w:t>
      </w:r>
      <w:r>
        <w:rPr>
          <w:color w:val="FF0000"/>
          <w:sz w:val="20"/>
          <w:szCs w:val="20"/>
          <w:lang w:val="en-CA"/>
        </w:rPr>
        <w:t xml:space="preserve"> </w:t>
      </w:r>
      <w:r>
        <w:rPr>
          <w:i/>
          <w:iCs/>
          <w:strike/>
          <w:dstrike w:val="0"/>
          <w:color w:val="FF0000"/>
          <w:lang w:val="en-CA"/>
        </w:rPr>
        <w:t>RbSetGroups</w:t>
      </w:r>
      <w:r>
        <w:rPr>
          <w:rFonts w:hint="eastAsia"/>
          <w:i/>
          <w:iCs/>
          <w:strike/>
          <w:dstrike w:val="0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sz w:val="20"/>
          <w:szCs w:val="20"/>
          <w:u w:val="single"/>
          <w:lang w:val="en-US" w:eastAsia="zh-CN"/>
        </w:rPr>
        <w:t xml:space="preserve">RB set groups by </w:t>
      </w:r>
      <w:r>
        <w:rPr>
          <w:rFonts w:hint="eastAsia" w:eastAsia="Times New Roman"/>
          <w:i/>
          <w:iCs/>
          <w:color w:val="FF0000"/>
          <w:sz w:val="20"/>
          <w:szCs w:val="20"/>
          <w:u w:val="single"/>
          <w:lang w:val="en-US" w:eastAsia="zh-CN"/>
        </w:rPr>
        <w:t>rb-SetGroups</w:t>
      </w:r>
      <w:r>
        <w:rPr>
          <w:sz w:val="20"/>
          <w:szCs w:val="20"/>
          <w:lang w:val="en-CA"/>
        </w:rPr>
        <w:t xml:space="preserve"> with each </w:t>
      </w:r>
      <w:r>
        <w:rPr>
          <w:i/>
          <w:iCs/>
          <w:strike/>
          <w:dstrike w:val="0"/>
          <w:color w:val="FF0000"/>
          <w:lang w:val="en-CA"/>
        </w:rPr>
        <w:t>RbSetGroup</w:t>
      </w:r>
      <w:r>
        <w:rPr>
          <w:rFonts w:hint="eastAsia"/>
          <w:i/>
          <w:iCs/>
          <w:strike/>
          <w:dstrike w:val="0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sz w:val="20"/>
          <w:szCs w:val="20"/>
          <w:u w:val="single"/>
          <w:lang w:val="en-US" w:eastAsia="zh-CN"/>
        </w:rPr>
        <w:t xml:space="preserve">RB set group by </w:t>
      </w:r>
      <w:r>
        <w:rPr>
          <w:rFonts w:hint="eastAsia" w:ascii="Times New Roman" w:hAnsi="Times New Roman" w:eastAsia="Times New Roman"/>
          <w:i/>
          <w:iCs/>
          <w:color w:val="FF0000"/>
          <w:sz w:val="20"/>
          <w:szCs w:val="20"/>
          <w:u w:val="single"/>
        </w:rPr>
        <w:t>RB-SetGroup</w:t>
      </w:r>
      <w:r>
        <w:rPr>
          <w:rFonts w:hint="eastAsia" w:eastAsia="Times New Roman"/>
          <w:i/>
          <w:iCs/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CA"/>
        </w:rPr>
        <w:t xml:space="preserve">indicating </w:t>
      </w:r>
      <w:r>
        <w:rPr>
          <w:i/>
          <w:iCs/>
          <w:sz w:val="20"/>
          <w:szCs w:val="20"/>
          <w:lang w:val="en-CA"/>
        </w:rPr>
        <w:t xml:space="preserve">resourceAvailability </w:t>
      </w:r>
      <w:r>
        <w:rPr>
          <w:sz w:val="20"/>
          <w:szCs w:val="20"/>
          <w:lang w:val="en-CA"/>
        </w:rPr>
        <w:t xml:space="preserve">for soft resources in one or more slots for the associated </w:t>
      </w:r>
      <w:r>
        <w:rPr>
          <w:i/>
          <w:iCs/>
          <w:strike/>
          <w:dstrike w:val="0"/>
          <w:color w:val="FF0000"/>
          <w:lang w:val="en-CA"/>
        </w:rPr>
        <w:t>rbSets</w:t>
      </w:r>
      <w:r>
        <w:rPr>
          <w:rFonts w:hint="eastAsia"/>
          <w:i/>
          <w:iCs/>
          <w:strike/>
          <w:dstrike w:val="0"/>
          <w:color w:val="FF0000"/>
          <w:lang w:val="en-US" w:eastAsia="zh-CN"/>
        </w:rPr>
        <w:t xml:space="preserve"> </w:t>
      </w:r>
      <w:r>
        <w:rPr>
          <w:rFonts w:hint="eastAsia"/>
          <w:i/>
          <w:iCs/>
          <w:color w:val="FF0000"/>
          <w:sz w:val="20"/>
          <w:szCs w:val="20"/>
          <w:lang w:val="en-US" w:eastAsia="zh-CN"/>
        </w:rPr>
        <w:t>rb-Sets</w:t>
      </w:r>
      <w:r>
        <w:rPr>
          <w:sz w:val="20"/>
          <w:szCs w:val="20"/>
          <w:lang w:val="en-CA"/>
        </w:rPr>
        <w:t xml:space="preserve">, </w:t>
      </w:r>
      <w:r>
        <w:rPr>
          <w:sz w:val="20"/>
          <w:szCs w:val="20"/>
        </w:rPr>
        <w:t xml:space="preserve">and </w:t>
      </w:r>
    </w:p>
    <w:p>
      <w:pPr>
        <w:pStyle w:val="52"/>
        <w:widowControl w:val="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>a mapping for the soft symbol</w:t>
      </w:r>
      <w:r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</w:rPr>
        <w:t xml:space="preserve">and/or for soft resources, availability combinations provided by </w:t>
      </w:r>
      <w:r>
        <w:rPr>
          <w:i/>
          <w:iCs/>
          <w:sz w:val="20"/>
          <w:szCs w:val="20"/>
          <w:lang w:val="en-US"/>
        </w:rPr>
        <w:t>resource</w:t>
      </w:r>
      <w:r>
        <w:rPr>
          <w:rStyle w:val="47"/>
          <w:sz w:val="20"/>
          <w:szCs w:val="20"/>
          <w:lang w:eastAsia="zh-CN"/>
        </w:rPr>
        <w:t>Availability</w:t>
      </w:r>
      <w:r>
        <w:rPr>
          <w:sz w:val="20"/>
          <w:szCs w:val="20"/>
        </w:rPr>
        <w:t xml:space="preserve"> to a corresponding AI index field value in DCI format 2_5 provided by </w:t>
      </w:r>
      <w:r>
        <w:rPr>
          <w:rStyle w:val="47"/>
          <w:sz w:val="20"/>
          <w:szCs w:val="20"/>
          <w:lang w:eastAsia="zh-CN"/>
        </w:rPr>
        <w:t>availabilityCombinationId</w:t>
      </w:r>
    </w:p>
    <w:p>
      <w:pPr>
        <w:widowControl w:val="0"/>
        <w:rPr>
          <w:rFonts w:ascii="Times New Roman" w:hAnsi="Times New Roman" w:eastAsia="宋体" w:cs="Times New Roman"/>
          <w:sz w:val="20"/>
          <w:szCs w:val="20"/>
          <w:lang w:eastAsia="ko-KR"/>
        </w:rPr>
      </w:pPr>
      <w:r>
        <w:rPr>
          <w:sz w:val="20"/>
          <w:szCs w:val="20"/>
        </w:rPr>
        <w:t xml:space="preserve">The IAB-DU can assume a same SCS configuration for </w:t>
      </w:r>
      <w:r>
        <w:rPr>
          <w:i/>
          <w:sz w:val="20"/>
          <w:szCs w:val="20"/>
        </w:rPr>
        <w:t>availabilityCombinations</w:t>
      </w:r>
      <w:r>
        <w:rPr>
          <w:rFonts w:hint="eastAsia"/>
          <w:i/>
          <w:sz w:val="20"/>
          <w:szCs w:val="20"/>
          <w:lang w:val="en-US" w:eastAsia="zh-CN"/>
        </w:rPr>
        <w:t xml:space="preserve"> </w:t>
      </w:r>
      <w:r>
        <w:rPr>
          <w:rFonts w:hint="eastAsia"/>
          <w:color w:val="FF0000"/>
          <w:sz w:val="20"/>
          <w:szCs w:val="20"/>
          <w:highlight w:val="none"/>
          <w:u w:val="single"/>
          <w:lang w:val="en-US" w:eastAsia="zh-CN"/>
        </w:rPr>
        <w:t xml:space="preserve">or </w:t>
      </w:r>
      <w:r>
        <w:rPr>
          <w:rStyle w:val="47"/>
          <w:color w:val="FF0000"/>
          <w:sz w:val="20"/>
          <w:szCs w:val="20"/>
          <w:highlight w:val="none"/>
          <w:u w:val="single"/>
        </w:rPr>
        <w:t>availabilityCombinationsRBGroups</w:t>
      </w:r>
      <w:r>
        <w:rPr>
          <w:rStyle w:val="47"/>
          <w:rFonts w:hint="eastAsia"/>
          <w:color w:val="FF0000"/>
          <w:sz w:val="20"/>
          <w:szCs w:val="20"/>
          <w:highlight w:val="none"/>
          <w:lang w:val="en-US" w:eastAsia="zh-CN"/>
        </w:rPr>
        <w:t xml:space="preserve"> </w:t>
      </w:r>
      <w:r>
        <w:rPr>
          <w:sz w:val="20"/>
          <w:szCs w:val="20"/>
        </w:rPr>
        <w:t xml:space="preserve">for a cell as an SCS configuration provided by </w:t>
      </w:r>
      <w:r>
        <w:rPr>
          <w:i/>
          <w:iCs/>
          <w:sz w:val="20"/>
          <w:szCs w:val="20"/>
        </w:rPr>
        <w:t>gNB-DU Cell Resource Configuration</w:t>
      </w:r>
      <w:r>
        <w:rPr>
          <w:sz w:val="20"/>
          <w:szCs w:val="20"/>
        </w:rPr>
        <w:t xml:space="preserve"> for the cell.</w:t>
      </w:r>
    </w:p>
    <w:p>
      <w:pPr>
        <w:widowControl w:val="0"/>
        <w:numPr>
          <w:ilvl w:val="-1"/>
          <w:numId w:val="0"/>
        </w:numPr>
        <w:ind w:left="0" w:firstLine="0"/>
        <w:rPr>
          <w:rFonts w:ascii="Times New Roman" w:hAnsi="Times New Roman" w:eastAsia="宋体" w:cs="Times New Roman"/>
          <w:sz w:val="20"/>
          <w:lang w:eastAsia="ko-KR"/>
        </w:rPr>
      </w:pPr>
    </w:p>
    <w:p>
      <w:pPr>
        <w:jc w:val="center"/>
        <w:rPr>
          <w:rFonts w:hint="eastAsia" w:ascii="Times New Roman" w:hAnsi="Times New Roman" w:eastAsia="宋体" w:cs="Times New Roman"/>
          <w:sz w:val="20"/>
          <w:lang w:val="en-US" w:eastAsia="zh-CN"/>
        </w:rPr>
      </w:pPr>
      <w:r>
        <w:rPr>
          <w:b/>
          <w:color w:val="FF0000"/>
        </w:rPr>
        <w:t>&lt;Unchanged parts omitted</w:t>
      </w:r>
      <w:r>
        <w:rPr>
          <w:rFonts w:hint="eastAsia"/>
          <w:b/>
          <w:color w:val="FF0000"/>
          <w:lang w:val="en-US" w:eastAsia="zh-CN"/>
        </w:rPr>
        <w:t>&gt;</w:t>
      </w:r>
    </w:p>
    <w:p>
      <w:pPr>
        <w:widowControl w:val="0"/>
        <w:rPr>
          <w:rFonts w:eastAsia="Times New Roman"/>
        </w:rPr>
      </w:pPr>
      <w:r>
        <w:t>For a serving cell of an IAB-MT, the IAB-MT can be provided a set of TCI states or a set of RS resource indexes corresponding to a SS/PBCH block or to a CSI-RS resource index for a slot where a PDSCH EPRE adjustment is indicated by DL Tx Power Adjustment MAC CE as described in [11, TS 38.321]. The PDSCH EPRE can be derived from a downlink CSI-RS EPRE as described in [6, TS 38.214] and a PDSCH power offset provided by</w:t>
      </w:r>
      <w:r>
        <w:rPr>
          <w:rFonts w:hint="eastAsia"/>
          <w:lang w:val="en-US" w:eastAsia="zh-CN"/>
        </w:rPr>
        <w:t xml:space="preserve"> </w:t>
      </w:r>
      <w:r>
        <w:rPr>
          <w:i/>
          <w:iCs/>
          <w:strike/>
          <w:dstrike w:val="0"/>
          <w:color w:val="FF0000"/>
          <w:u w:val="single"/>
        </w:rPr>
        <w:t>powerControlOffsetIAB</w:t>
      </w:r>
      <w:r>
        <w:rPr>
          <w:i/>
          <w:iCs/>
          <w:color w:val="FF0000"/>
          <w:u w:val="single"/>
        </w:rPr>
        <w:t xml:space="preserve"> </w:t>
      </w:r>
      <w:r>
        <w:rPr>
          <w:color w:val="FF0000"/>
          <w:u w:val="single"/>
        </w:rPr>
        <w:t>DL Tx Power adjustment</w:t>
      </w:r>
      <w:r>
        <w:rPr>
          <w:rFonts w:hint="eastAsia"/>
          <w:color w:val="FF0000"/>
          <w:u w:val="single"/>
          <w:lang w:val="en-US" w:eastAsia="zh-CN"/>
        </w:rPr>
        <w:t xml:space="preserve"> field in </w:t>
      </w:r>
      <w:r>
        <w:rPr>
          <w:color w:val="FF0000"/>
          <w:u w:val="single"/>
        </w:rPr>
        <w:t>DL TX Power Adjustment MAC C</w:t>
      </w:r>
      <w:r>
        <w:rPr>
          <w:rFonts w:hint="eastAsia"/>
          <w:color w:val="FF0000"/>
          <w:u w:val="single"/>
          <w:lang w:val="en-US" w:eastAsia="zh-CN"/>
        </w:rPr>
        <w:t>E</w:t>
      </w:r>
      <w:r>
        <w:t xml:space="preserve"> as described in [11, TS 38.321]. For a downlink DM-RS and/or PT-RS associated with a PDSCH, the IAB-MT may assume that the ratio of PDSCH EPRE to DM-RS EPRE, and/or PT-RS EPRE to PDSCH EPRE,</w:t>
      </w:r>
      <w:r>
        <w:rPr>
          <w:i/>
          <w:iCs/>
        </w:rPr>
        <w:t xml:space="preserve"> </w:t>
      </w:r>
      <w:r>
        <w:t xml:space="preserve">is obtained as for a "UE" in [6, TS 38.214]. If no TCI state or RS resource index is provided to the IAB-MT, the IAB-MT may assume that a same PDSCH EPRE adjustment applies to all TCI states or RS resource indexes configured for the IAB-MT. A PDSCH EPRE adjustment provided by DL Tx Power Adjustment MAC CE may be </w:t>
      </w:r>
      <w:r>
        <w:rPr>
          <w:rFonts w:eastAsia="Times New Roman"/>
        </w:rPr>
        <w:t>associated with</w:t>
      </w:r>
      <w:bookmarkStart w:id="7" w:name="_GoBack"/>
      <w:bookmarkEnd w:id="7"/>
    </w:p>
    <w:p>
      <w:pPr>
        <w:pStyle w:val="45"/>
        <w:widowControl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multiplexing mode of the IAB-node, if provided, and/or</w:t>
      </w:r>
    </w:p>
    <w:p>
      <w:pPr>
        <w:pStyle w:val="45"/>
        <w:widowControl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when simultaneous reception by the IAB-MT and transmission/reception by an IAB-DU cell occur in non-overlapping frequency resources, if provided, or when simultaneous reception by the IAB-MT and transmission/reception by an IAB-DU cell occur in overlapping frequency resources, if provided, and/or</w:t>
      </w:r>
    </w:p>
    <w:p>
      <w:pPr>
        <w:pStyle w:val="45"/>
        <w:widowControl w:val="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slots indicated by slot index, if provided</w:t>
      </w:r>
      <w:r>
        <w:t>.</w:t>
      </w:r>
    </w:p>
    <w:p>
      <w:pPr>
        <w:widowControl w:val="0"/>
        <w:rPr>
          <w:rFonts w:ascii="Times New Roman" w:hAnsi="Times New Roman" w:eastAsia="宋体" w:cs="Times New Roman"/>
          <w:sz w:val="20"/>
          <w:lang w:eastAsia="ko-KR"/>
        </w:rPr>
      </w:pPr>
    </w:p>
    <w:bookmarkEnd w:id="1"/>
    <w:bookmarkEnd w:id="2"/>
    <w:bookmarkEnd w:id="3"/>
    <w:bookmarkEnd w:id="4"/>
    <w:bookmarkEnd w:id="5"/>
    <w:bookmarkEnd w:id="6"/>
    <w:p>
      <w:pPr>
        <w:jc w:val="center"/>
        <w:rPr>
          <w:rFonts w:hint="eastAsia" w:eastAsia="宋体"/>
          <w:lang w:val="en-US" w:eastAsia="zh-CN"/>
        </w:rPr>
      </w:pPr>
      <w:r>
        <w:rPr>
          <w:b/>
          <w:color w:val="FF0000"/>
        </w:rPr>
        <w:t>&lt;Unchanged parts omitted</w:t>
      </w:r>
      <w:r>
        <w:rPr>
          <w:rFonts w:hint="eastAsia"/>
          <w:b/>
          <w:color w:val="FF0000"/>
          <w:lang w:val="en-US" w:eastAsia="zh-CN"/>
        </w:rPr>
        <w:t>&gt;</w:t>
      </w:r>
    </w:p>
    <w:sectPr>
      <w:footerReference r:id="rId6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5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yvpdEyAgAAY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J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sLkWRa2&#10;+sHyCB3l8XZ1CJAzqRxF6ZRAd+IBs5f61O9JHO4/zynq6b9h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K+l0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4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 w:tentative="0">
      <w:start w:val="1"/>
      <w:numFmt w:val="decimal"/>
      <w:pStyle w:val="34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6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 w:tentative="0">
      <w:start w:val="1"/>
      <w:numFmt w:val="decimal"/>
      <w:pStyle w:val="6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 w:tentative="0">
      <w:start w:val="1"/>
      <w:numFmt w:val="lowerRoman"/>
      <w:pStyle w:val="3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65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C67C5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23AD5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6336F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C4596E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759D1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15D40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03A9E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0"/>
      </w:numPr>
      <w:pBdr>
        <w:top w:val="single" w:color="auto" w:sz="12" w:space="3"/>
      </w:pBdr>
      <w:spacing w:before="50" w:after="50"/>
      <w:ind w:left="0"/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1"/>
    <w:unhideWhenUsed/>
    <w:qFormat/>
    <w:uiPriority w:val="99"/>
    <w:pPr>
      <w:ind w:left="851"/>
    </w:pPr>
  </w:style>
  <w:style w:type="paragraph" w:styleId="9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0">
    <w:name w:val="Document Map"/>
    <w:basedOn w:val="1"/>
    <w:link w:val="42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1">
    <w:name w:val="annotation text"/>
    <w:basedOn w:val="1"/>
    <w:link w:val="43"/>
    <w:semiHidden/>
    <w:unhideWhenUsed/>
    <w:qFormat/>
    <w:uiPriority w:val="0"/>
    <w:pPr>
      <w:jc w:val="left"/>
    </w:pPr>
  </w:style>
  <w:style w:type="paragraph" w:styleId="12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1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7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8">
    <w:name w:val="List"/>
    <w:basedOn w:val="1"/>
    <w:unhideWhenUsed/>
    <w:qFormat/>
    <w:uiPriority w:val="99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5">
    <w:name w:val="Table Grid"/>
    <w:basedOn w:val="2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page number"/>
    <w:basedOn w:val="26"/>
    <w:semiHidden/>
    <w:qFormat/>
    <w:uiPriority w:val="0"/>
  </w:style>
  <w:style w:type="character" w:styleId="28">
    <w:name w:val="Emphasis"/>
    <w:basedOn w:val="26"/>
    <w:qFormat/>
    <w:uiPriority w:val="20"/>
    <w:rPr>
      <w:i/>
      <w:iCs/>
    </w:rPr>
  </w:style>
  <w:style w:type="character" w:styleId="29">
    <w:name w:val="Hyperlink"/>
    <w:basedOn w:val="2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6"/>
    <w:semiHidden/>
    <w:unhideWhenUsed/>
    <w:qFormat/>
    <w:uiPriority w:val="99"/>
    <w:rPr>
      <w:sz w:val="16"/>
      <w:szCs w:val="16"/>
    </w:rPr>
  </w:style>
  <w:style w:type="character" w:customStyle="1" w:styleId="31">
    <w:name w:val="批注框文本 Char"/>
    <w:basedOn w:val="26"/>
    <w:link w:val="14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paragraph" w:customStyle="1" w:styleId="32">
    <w:name w:val="sub-proposal"/>
    <w:basedOn w:val="33"/>
    <w:next w:val="1"/>
    <w:qFormat/>
    <w:uiPriority w:val="0"/>
    <w:pPr>
      <w:numPr>
        <w:numId w:val="1"/>
      </w:numPr>
      <w:tabs>
        <w:tab w:val="left" w:pos="0"/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ZTE-Proposal"/>
    <w:basedOn w:val="1"/>
    <w:qFormat/>
    <w:uiPriority w:val="0"/>
    <w:pPr>
      <w:numPr>
        <w:ilvl w:val="0"/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5">
    <w:name w:val="sub-observation"/>
    <w:basedOn w:val="32"/>
    <w:next w:val="1"/>
    <w:qFormat/>
    <w:uiPriority w:val="0"/>
  </w:style>
  <w:style w:type="paragraph" w:customStyle="1" w:styleId="36">
    <w:name w:val="3rd level proposal"/>
    <w:basedOn w:val="32"/>
    <w:next w:val="1"/>
    <w:qFormat/>
    <w:uiPriority w:val="0"/>
    <w:pPr>
      <w:numPr>
        <w:ilvl w:val="0"/>
        <w:numId w:val="4"/>
      </w:numPr>
      <w:ind w:left="1282" w:leftChars="400" w:hanging="442"/>
    </w:pPr>
  </w:style>
  <w:style w:type="paragraph" w:customStyle="1" w:styleId="37">
    <w:name w:val="3rd level observation"/>
    <w:basedOn w:val="35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8">
    <w:name w:val="References"/>
    <w:basedOn w:val="1"/>
    <w:qFormat/>
    <w:uiPriority w:val="0"/>
    <w:pPr>
      <w:numPr>
        <w:ilvl w:val="0"/>
        <w:numId w:val="6"/>
      </w:numPr>
      <w:spacing w:after="60"/>
    </w:pPr>
    <w:rPr>
      <w:szCs w:val="16"/>
    </w:rPr>
  </w:style>
  <w:style w:type="paragraph" w:styleId="39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40">
    <w:name w:val="样式1"/>
    <w:basedOn w:val="1"/>
    <w:qFormat/>
    <w:uiPriority w:val="0"/>
  </w:style>
  <w:style w:type="paragraph" w:customStyle="1" w:styleId="41">
    <w:name w:val="样式2"/>
    <w:basedOn w:val="1"/>
    <w:qFormat/>
    <w:uiPriority w:val="0"/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3">
    <w:name w:val="批注文字 Char"/>
    <w:basedOn w:val="26"/>
    <w:link w:val="11"/>
    <w:semiHidden/>
    <w:qFormat/>
    <w:uiPriority w:val="99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B1"/>
    <w:basedOn w:val="18"/>
    <w:link w:val="60"/>
    <w:qFormat/>
    <w:uiPriority w:val="0"/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47">
    <w:name w:val="fontstyle01"/>
    <w:basedOn w:val="26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48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9">
    <w:name w:val="YJ-Observation"/>
    <w:basedOn w:val="33"/>
    <w:qFormat/>
    <w:uiPriority w:val="0"/>
    <w:pPr>
      <w:numPr>
        <w:ilvl w:val="0"/>
        <w:numId w:val="7"/>
      </w:numPr>
      <w:tabs>
        <w:tab w:val="left" w:pos="420"/>
      </w:tabs>
    </w:pPr>
  </w:style>
  <w:style w:type="paragraph" w:customStyle="1" w:styleId="50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51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2">
    <w:name w:val="B2"/>
    <w:basedOn w:val="8"/>
    <w:link w:val="61"/>
    <w:qFormat/>
    <w:uiPriority w:val="0"/>
  </w:style>
  <w:style w:type="paragraph" w:customStyle="1" w:styleId="53">
    <w:name w:val="B3"/>
    <w:basedOn w:val="7"/>
    <w:link w:val="62"/>
    <w:qFormat/>
    <w:uiPriority w:val="0"/>
  </w:style>
  <w:style w:type="paragraph" w:customStyle="1" w:styleId="54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5">
    <w:name w:val="B4"/>
    <w:basedOn w:val="21"/>
    <w:link w:val="63"/>
    <w:qFormat/>
    <w:uiPriority w:val="0"/>
  </w:style>
  <w:style w:type="paragraph" w:customStyle="1" w:styleId="56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B5"/>
    <w:basedOn w:val="1"/>
    <w:link w:val="64"/>
    <w:qFormat/>
    <w:uiPriority w:val="0"/>
    <w:pPr>
      <w:ind w:left="1702" w:hanging="284"/>
    </w:pPr>
  </w:style>
  <w:style w:type="character" w:customStyle="1" w:styleId="60">
    <w:name w:val="B1 Zchn"/>
    <w:link w:val="45"/>
    <w:qFormat/>
    <w:uiPriority w:val="0"/>
    <w:rPr>
      <w:kern w:val="2"/>
      <w:sz w:val="21"/>
    </w:rPr>
  </w:style>
  <w:style w:type="character" w:customStyle="1" w:styleId="61">
    <w:name w:val="B2 Char"/>
    <w:link w:val="52"/>
    <w:qFormat/>
    <w:uiPriority w:val="0"/>
    <w:rPr>
      <w:kern w:val="2"/>
      <w:sz w:val="21"/>
    </w:rPr>
  </w:style>
  <w:style w:type="character" w:customStyle="1" w:styleId="62">
    <w:name w:val="B3 Char"/>
    <w:link w:val="53"/>
    <w:qFormat/>
    <w:uiPriority w:val="0"/>
    <w:rPr>
      <w:kern w:val="2"/>
      <w:sz w:val="21"/>
    </w:rPr>
  </w:style>
  <w:style w:type="character" w:customStyle="1" w:styleId="63">
    <w:name w:val="B4 Char"/>
    <w:link w:val="55"/>
    <w:qFormat/>
    <w:uiPriority w:val="0"/>
    <w:rPr>
      <w:kern w:val="2"/>
      <w:sz w:val="21"/>
    </w:rPr>
  </w:style>
  <w:style w:type="character" w:customStyle="1" w:styleId="64">
    <w:name w:val="B5 Char"/>
    <w:link w:val="59"/>
    <w:qFormat/>
    <w:uiPriority w:val="0"/>
    <w:rPr>
      <w:kern w:val="2"/>
      <w:sz w:val="21"/>
    </w:rPr>
  </w:style>
  <w:style w:type="paragraph" w:customStyle="1" w:styleId="65">
    <w:name w:val="text intend 1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66">
    <w:name w:val="Tdoc_Heading_1"/>
    <w:basedOn w:val="2"/>
    <w:next w:val="1"/>
    <w:qFormat/>
    <w:uiPriority w:val="0"/>
    <w:pPr>
      <w:keepLines w:val="0"/>
      <w:numPr>
        <w:numId w:val="10"/>
      </w:numPr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A1CE7-3424-4C6F-BE44-D24BE38F57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667</Words>
  <Characters>3804</Characters>
  <Lines>31</Lines>
  <Paragraphs>8</Paragraphs>
  <TotalTime>3</TotalTime>
  <ScaleCrop>false</ScaleCrop>
  <LinksUpToDate>false</LinksUpToDate>
  <CharactersWithSpaces>4463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2022-02-09T04:37:00Z</dcterms:created>
  <dc:creator>ZTE</dc:creator>
  <cp:lastModifiedBy>10110583</cp:lastModifiedBy>
  <dcterms:modified xsi:type="dcterms:W3CDTF">2022-08-09T11:55:27Z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